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长春工业大学</w:t>
      </w:r>
      <w:r>
        <w:rPr>
          <w:rFonts w:hint="eastAsia" w:ascii="方正小标宋简体" w:hAnsi="方正小标宋简体" w:eastAsia="方正小标宋简体" w:cs="方正小标宋简体"/>
          <w:sz w:val="36"/>
          <w:szCs w:val="36"/>
        </w:rPr>
        <w:t>201</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rPr>
        <w:t>年度吉林省本科高等教育</w:t>
      </w:r>
    </w:p>
    <w:p>
      <w:pPr>
        <w:jc w:val="center"/>
        <w:rPr>
          <w:rFonts w:hint="eastAsia"/>
        </w:rPr>
      </w:pPr>
      <w:r>
        <w:rPr>
          <w:rFonts w:hint="eastAsia" w:ascii="方正小标宋简体" w:hAnsi="方正小标宋简体" w:eastAsia="方正小标宋简体" w:cs="方正小标宋简体"/>
          <w:sz w:val="36"/>
          <w:szCs w:val="36"/>
        </w:rPr>
        <w:t>教学改革立项课题名单</w:t>
      </w:r>
    </w:p>
    <w:p>
      <w:pPr>
        <w:rPr>
          <w:rFonts w:hint="eastAsia"/>
        </w:rPr>
      </w:pPr>
      <w:r>
        <w:rPr>
          <w:rFonts w:hint="eastAsia"/>
        </w:rPr>
        <w:t xml:space="preserve"> </w:t>
      </w:r>
    </w:p>
    <w:p>
      <w:pPr>
        <w:rPr>
          <w:rFonts w:hint="eastAsia"/>
        </w:rPr>
      </w:pPr>
    </w:p>
    <w:tbl>
      <w:tblPr>
        <w:tblStyle w:val="5"/>
        <w:tblW w:w="8923"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655"/>
        <w:gridCol w:w="700"/>
        <w:gridCol w:w="1000"/>
        <w:gridCol w:w="2467"/>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blHeader/>
        </w:trPr>
        <w:tc>
          <w:tcPr>
            <w:tcW w:w="651" w:type="dxa"/>
            <w:shd w:val="clear" w:color="auto" w:fill="D6DCE4" w:themeFill="text2" w:themeFillTint="33"/>
            <w:vAlign w:val="center"/>
          </w:tcPr>
          <w:p>
            <w:pPr>
              <w:jc w:val="center"/>
              <w:rPr>
                <w:rFonts w:hint="eastAsia" w:ascii="宋体" w:hAnsi="宋体" w:eastAsia="宋体" w:cs="宋体"/>
                <w:bCs/>
                <w:sz w:val="21"/>
                <w:szCs w:val="21"/>
              </w:rPr>
            </w:pPr>
            <w:bookmarkStart w:id="0" w:name="_GoBack"/>
            <w:bookmarkEnd w:id="0"/>
            <w:r>
              <w:rPr>
                <w:rFonts w:hint="eastAsia" w:ascii="宋体" w:hAnsi="宋体" w:eastAsia="宋体" w:cs="宋体"/>
                <w:bCs/>
                <w:sz w:val="21"/>
                <w:szCs w:val="21"/>
              </w:rPr>
              <w:t>序号</w:t>
            </w:r>
          </w:p>
        </w:tc>
        <w:tc>
          <w:tcPr>
            <w:tcW w:w="2655" w:type="dxa"/>
            <w:shd w:val="clear" w:color="auto" w:fill="D6DCE4" w:themeFill="text2" w:themeFillTint="33"/>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课题名称</w:t>
            </w:r>
          </w:p>
        </w:tc>
        <w:tc>
          <w:tcPr>
            <w:tcW w:w="700" w:type="dxa"/>
            <w:shd w:val="clear" w:color="auto" w:fill="D6DCE4" w:themeFill="text2" w:themeFillTint="33"/>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类别</w:t>
            </w:r>
          </w:p>
        </w:tc>
        <w:tc>
          <w:tcPr>
            <w:tcW w:w="1000" w:type="dxa"/>
            <w:shd w:val="clear" w:color="auto" w:fill="D6DCE4" w:themeFill="text2" w:themeFillTint="33"/>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负责人</w:t>
            </w:r>
          </w:p>
        </w:tc>
        <w:tc>
          <w:tcPr>
            <w:tcW w:w="2467" w:type="dxa"/>
            <w:shd w:val="clear" w:color="auto" w:fill="D6DCE4" w:themeFill="text2" w:themeFillTint="33"/>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成员</w:t>
            </w:r>
          </w:p>
        </w:tc>
        <w:tc>
          <w:tcPr>
            <w:tcW w:w="1450" w:type="dxa"/>
            <w:shd w:val="clear" w:color="auto" w:fill="D6DCE4" w:themeFill="text2" w:themeFillTint="33"/>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申报部门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地方院校化学专业拔尖创新人才培养模式的研究与实践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重点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敖玉辉</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王志兵、赵振波、孙国英、姜春竹、段莉洁、关爽</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化学与生命科学学院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工程教育认证背景下的机械类人才培养体系研究与实践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重点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李奇涵</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谷东伟、高嵩、刘小勇、陈鹏霏、卢明明</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机电工程学院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基于工程教育专业认证理念的计算机类一流专业建设路径研究与实践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重点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赵辉</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刘丽伟、王贵参、王红梅、刘钢、姚庆安、郑山红、王涛</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计算机科学与工程学院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基于工程教育认证核心理念的自动化一流专业建设研究与实践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重点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于微波</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杨宏韬、刘帅师、张秀梅、董博、刘克平、孙中波</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电气与电子工程学院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基于“横班纵组 立体教育”公共管理类人才培养模式的探索与实践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曲永军</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陶宇、李盛基、汪泳、刘竹君、杨松明、蔡晶波</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公共管理学院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基于工程教育认证的化工类一流专业建设路径研究与实践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李贞玉</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刁振恒、肖丹、杨旭东、邵珠宝、杨楠、王璐</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化学工程学院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大数据背景下高校教学督导工作问题研究</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周子明</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张宝昌、张志强、张恩忠、朱雪莲、张宇</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机电工程学院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大数据背景下的统计学专业人才创新创业教育课程、实践体系研究</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李纯净</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陈嘉、袁晓惠、董小刚、屈红雁、曲波</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数学与统计学院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地方院校卓越新闻传播人才培养计划实施与运行机制研究</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李赫</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曹智、李仲德、何灏、张佳楠、于欧洋、刘爽</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信息传播工程学院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服务多元需求的经管类一流专业建设研究与实践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张璇</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张玉智、张博、孙小明、高鹤、孙凤莲、董睿</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基于“产出导向法”的研究生公共英语课程教学改革研究与实践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崔艳辉</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王轶、汪春艳、许铭桓、迟晓君、卫柯帆</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留学生院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“互联网+”背景下无机化学智慧教学的改革研究与实践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一般</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朱晓飞</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周德凤、王炳武、杨国程、彭悦、刘芳、赵宝华</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化学与生命科学学院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工程教育专业认证背景下普通化学系列金课建设的研究与实践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新工科专项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王宇超</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朱晓飞、周德凤、石金静、孙见蕊、刘梅、王严</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化学与生命科学学院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数字媒体技术专业校企合作协同育人人才培养机制的研究与实践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新工科专项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管媛辉</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于肆洋、陈天亨、吴德胜、朱玥、郎建军</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信息传播工程学院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5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655"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新时代思政课程与课程思政同向同行教学模式的探索与实践</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思政专项</w:t>
            </w:r>
          </w:p>
        </w:tc>
        <w:tc>
          <w:tcPr>
            <w:tcW w:w="1000"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贺爱英</w:t>
            </w:r>
          </w:p>
        </w:tc>
        <w:tc>
          <w:tcPr>
            <w:tcW w:w="2467"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马光焱、程颖、于影、王晓珊、张一璠</w:t>
            </w:r>
          </w:p>
        </w:tc>
        <w:tc>
          <w:tcPr>
            <w:tcW w:w="14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马克思主义学院</w:t>
            </w:r>
          </w:p>
        </w:tc>
      </w:tr>
    </w:tbl>
    <w:p>
      <w:pPr>
        <w:spacing w:line="360" w:lineRule="auto"/>
        <w:ind w:firstLine="480"/>
        <w:rPr>
          <w:rFonts w:hint="eastAsia" w:ascii="宋体" w:hAnsi="宋体" w:eastAsia="宋体" w:cs="宋体"/>
          <w:sz w:val="24"/>
          <w:szCs w:val="24"/>
        </w:rPr>
      </w:pPr>
    </w:p>
    <w:p>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长春工业大学高等教育研究所</w:t>
      </w:r>
    </w:p>
    <w:p>
      <w:pPr>
        <w:spacing w:line="360" w:lineRule="auto"/>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2019年11月29日</w:t>
      </w:r>
    </w:p>
    <w:p>
      <w:pPr>
        <w:spacing w:line="360" w:lineRule="auto"/>
        <w:ind w:firstLine="480"/>
        <w:jc w:val="right"/>
        <w:rPr>
          <w:rFonts w:hint="eastAsia" w:ascii="宋体" w:hAnsi="宋体" w:eastAsia="宋体" w:cs="宋体"/>
          <w:sz w:val="24"/>
          <w:szCs w:val="24"/>
        </w:rPr>
      </w:pPr>
    </w:p>
    <w:p>
      <w:pPr>
        <w:rPr>
          <w:rFonts w:hint="eastAsia"/>
          <w:lang w:val="en-US" w:eastAsia="zh-CN"/>
        </w:rPr>
      </w:pPr>
    </w:p>
    <w:sectPr>
      <w:headerReference r:id="rId3" w:type="default"/>
      <w:pgSz w:w="11906" w:h="16838"/>
      <w:pgMar w:top="1480" w:right="1800" w:bottom="2338" w:left="1800" w:header="261" w:footer="104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60" w:leftChars="-600" w:firstLine="0" w:firstLineChars="0"/>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3897630</wp:posOffset>
              </wp:positionH>
              <wp:positionV relativeFrom="paragraph">
                <wp:posOffset>257810</wp:posOffset>
              </wp:positionV>
              <wp:extent cx="2035175" cy="577215"/>
              <wp:effectExtent l="0" t="0" r="3175" b="13335"/>
              <wp:wrapNone/>
              <wp:docPr id="1" name="矩形 1"/>
              <wp:cNvGraphicFramePr/>
              <a:graphic xmlns:a="http://schemas.openxmlformats.org/drawingml/2006/main">
                <a:graphicData uri="http://schemas.microsoft.com/office/word/2010/wordprocessingShape">
                  <wps:wsp>
                    <wps:cNvSpPr/>
                    <wps:spPr>
                      <a:xfrm>
                        <a:off x="5454650" y="385445"/>
                        <a:ext cx="2035175" cy="5772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hd w:val="clear" w:fill="FFFFFF" w:themeFill="background1"/>
                            <w:jc w:val="center"/>
                            <w:rPr>
                              <w:rFonts w:hint="eastAsia" w:ascii="华文中宋" w:hAnsi="华文中宋" w:eastAsia="华文中宋" w:cs="华文中宋"/>
                              <w:b/>
                              <w:bCs/>
                              <w:color w:val="7F7F7F" w:themeColor="background1" w:themeShade="80"/>
                              <w:sz w:val="44"/>
                              <w:szCs w:val="44"/>
                              <w:lang w:val="en-US" w:eastAsia="zh-CN"/>
                            </w:rPr>
                          </w:pPr>
                          <w:r>
                            <w:rPr>
                              <w:rFonts w:hint="eastAsia" w:ascii="华文中宋" w:hAnsi="华文中宋" w:eastAsia="华文中宋" w:cs="华文中宋"/>
                              <w:b/>
                              <w:bCs/>
                              <w:color w:val="7F7F7F" w:themeColor="background1" w:themeShade="80"/>
                              <w:sz w:val="44"/>
                              <w:szCs w:val="44"/>
                              <w:lang w:val="en-US" w:eastAsia="zh-CN"/>
                            </w:rPr>
                            <w:t>高教研究所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9pt;margin-top:20.3pt;height:45.45pt;width:160.25pt;z-index:251659264;v-text-anchor:middle;mso-width-relative:page;mso-height-relative:page;" fillcolor="#FFFFFF [3212]" filled="t" stroked="f" coordsize="21600,21600" o:gfxdata="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XiOp2QAAAAoBAAAPAAAAAAAAAAEAIAAAACIAAABkcnMvZG93bnJldi54bWxQSwECFAAU&#10;AAAACACHTuJANJ79BmICAACTBAAADgAAAAAAAAABACAAAAAoAQAAZHJzL2Uyb0RvYy54bWxQSwUG&#10;AAAAAAYABgBZAQAA/AUAAAAA&#10;">
              <v:fill on="t" focussize="0,0"/>
              <v:stroke on="f" weight="1pt" miterlimit="8" joinstyle="miter"/>
              <v:imagedata o:title=""/>
              <o:lock v:ext="edit" aspectratio="f"/>
              <v:textbox>
                <w:txbxContent>
                  <w:p>
                    <w:pPr>
                      <w:shd w:val="clear" w:fill="FFFFFF" w:themeFill="background1"/>
                      <w:jc w:val="center"/>
                      <w:rPr>
                        <w:rFonts w:hint="eastAsia" w:ascii="华文中宋" w:hAnsi="华文中宋" w:eastAsia="华文中宋" w:cs="华文中宋"/>
                        <w:b/>
                        <w:bCs/>
                        <w:color w:val="7F7F7F" w:themeColor="background1" w:themeShade="80"/>
                        <w:sz w:val="44"/>
                        <w:szCs w:val="44"/>
                        <w:lang w:val="en-US" w:eastAsia="zh-CN"/>
                      </w:rPr>
                    </w:pPr>
                    <w:r>
                      <w:rPr>
                        <w:rFonts w:hint="eastAsia" w:ascii="华文中宋" w:hAnsi="华文中宋" w:eastAsia="华文中宋" w:cs="华文中宋"/>
                        <w:b/>
                        <w:bCs/>
                        <w:color w:val="7F7F7F" w:themeColor="background1" w:themeShade="80"/>
                        <w:sz w:val="44"/>
                        <w:szCs w:val="44"/>
                        <w:lang w:val="en-US" w:eastAsia="zh-CN"/>
                      </w:rPr>
                      <w:t>高教研究所</w:t>
                    </w:r>
                  </w:p>
                </w:txbxContent>
              </v:textbox>
            </v:rect>
          </w:pict>
        </mc:Fallback>
      </mc:AlternateContent>
    </w:r>
    <w:r>
      <w:rPr>
        <w:rFonts w:hint="eastAsia"/>
        <w:lang w:eastAsia="zh-CN"/>
      </w:rPr>
      <w:drawing>
        <wp:anchor distT="0" distB="0" distL="114300" distR="114300" simplePos="0" relativeHeight="251658240" behindDoc="1" locked="0" layoutInCell="1" allowOverlap="1">
          <wp:simplePos x="0" y="0"/>
          <wp:positionH relativeFrom="column">
            <wp:posOffset>-800100</wp:posOffset>
          </wp:positionH>
          <wp:positionV relativeFrom="paragraph">
            <wp:posOffset>0</wp:posOffset>
          </wp:positionV>
          <wp:extent cx="6870700" cy="9639935"/>
          <wp:effectExtent l="0" t="0" r="6350" b="18415"/>
          <wp:wrapNone/>
          <wp:docPr id="2" name="图片 2" descr="内页21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内页210-297"/>
                  <pic:cNvPicPr>
                    <a:picLocks noChangeAspect="1"/>
                  </pic:cNvPicPr>
                </pic:nvPicPr>
                <pic:blipFill>
                  <a:blip r:embed="rId1"/>
                  <a:stretch>
                    <a:fillRect/>
                  </a:stretch>
                </pic:blipFill>
                <pic:spPr>
                  <a:xfrm>
                    <a:off x="0" y="0"/>
                    <a:ext cx="6870700" cy="9639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3701"/>
    <w:rsid w:val="1D231173"/>
    <w:rsid w:val="25F4322E"/>
    <w:rsid w:val="2C7151F3"/>
    <w:rsid w:val="2EAE7E31"/>
    <w:rsid w:val="35AA25B5"/>
    <w:rsid w:val="38F40A47"/>
    <w:rsid w:val="42F509F6"/>
    <w:rsid w:val="734B3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Calibri" w:hAnsi="Calibri" w:eastAsia="华文中宋"/>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646464"/>
      <w:sz w:val="18"/>
      <w:szCs w:val="18"/>
      <w:u w:val="none"/>
    </w:rPr>
  </w:style>
  <w:style w:type="character" w:styleId="8">
    <w:name w:val="Hyperlink"/>
    <w:basedOn w:val="6"/>
    <w:qFormat/>
    <w:uiPriority w:val="0"/>
    <w:rPr>
      <w:color w:val="646464"/>
      <w:sz w:val="18"/>
      <w:szCs w:val="18"/>
      <w:u w:val="none"/>
    </w:rPr>
  </w:style>
  <w:style w:type="character" w:customStyle="1" w:styleId="9">
    <w:name w:val="标题 1 Char"/>
    <w:link w:val="2"/>
    <w:qFormat/>
    <w:uiPriority w:val="0"/>
    <w:rPr>
      <w:rFonts w:ascii="Calibri" w:hAnsi="Calibri" w:eastAsia="华文中宋"/>
      <w:b/>
      <w:bCs/>
      <w:kern w:val="44"/>
      <w:sz w:val="44"/>
      <w:szCs w:val="44"/>
    </w:rPr>
  </w:style>
  <w:style w:type="character" w:customStyle="1" w:styleId="10">
    <w:name w:val="item-name"/>
    <w:basedOn w:val="6"/>
    <w:qFormat/>
    <w:uiPriority w:val="0"/>
  </w:style>
  <w:style w:type="character" w:customStyle="1" w:styleId="11">
    <w:name w:val="item-name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1127</Words>
  <Characters>1155</Characters>
  <Lines>0</Lines>
  <Paragraphs>0</Paragraphs>
  <TotalTime>19</TotalTime>
  <ScaleCrop>false</ScaleCrop>
  <LinksUpToDate>false</LinksUpToDate>
  <CharactersWithSpaces>1157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2016-11-01T00:56:00Z</cp:lastPrinted>
  <dcterms:modified xsi:type="dcterms:W3CDTF">2019-11-29T07:25:53Z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